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The Local Government Finance and Stakeholders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Prompt One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Stakeholders in Local Government financial policy making process are persons, institutions organizations, or groups of people who have interests in the budgeting process at the local government level</w:t>
      </w:r>
      <w:r>
        <w:rPr>
          <w:rFonts w:ascii="Times New Roman" w:cs="Times New Roman" w:hAnsi="Times New Roman"/>
          <w:sz w:val="24"/>
          <w:szCs w:val="24"/>
        </w:rPr>
        <w:t xml:space="preserve"> (Li et al., 2015)</w:t>
      </w:r>
      <w:r>
        <w:rPr>
          <w:rFonts w:ascii="Times New Roman" w:cs="Times New Roman" w:hAnsi="Times New Roman"/>
          <w:sz w:val="24"/>
          <w:szCs w:val="24"/>
        </w:rPr>
        <w:t>. Many stakeholders have interests in formulating local government financial policies. Examples of these stakeholders are politicians, heads of state and legislatures, government bureaucrats and as well as technocrats. In this instance, down the pecking orde</w:t>
      </w:r>
      <w:r>
        <w:rPr>
          <w:rFonts w:ascii="Times New Roman" w:cs="Times New Roman" w:hAnsi="Times New Roman"/>
          <w:sz w:val="24"/>
          <w:szCs w:val="24"/>
        </w:rPr>
        <w:t xml:space="preserve">rs we have individuals like those in health institutions and education among others.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Two major stakeholders in local government finance policy formulation are the finance technocrats and the politicians. Politicians at the local government level, for instance, formulate policies on equitable distribution of government resources. </w:t>
      </w:r>
      <w:r>
        <w:rPr>
          <w:rFonts w:ascii="Times New Roman" w:cs="Times New Roman" w:hAnsi="Times New Roman"/>
          <w:sz w:val="24"/>
          <w:szCs w:val="24"/>
        </w:rPr>
        <w:t>Li et al. (2015) say t</w:t>
      </w:r>
      <w:r>
        <w:rPr>
          <w:rFonts w:ascii="Times New Roman" w:cs="Times New Roman" w:hAnsi="Times New Roman"/>
          <w:sz w:val="24"/>
          <w:szCs w:val="24"/>
        </w:rPr>
        <w:t xml:space="preserve">he politicians also are actively involved in mobilizing citizens to participate in local government budgetary allocation propositions. On the other hand, technocrats who are in the local government levels are behind the wheel for formulation and implementation of financial propositions. For instance, those in sectors like health and education, through experience and research propose changes to the finance committee which they believe will affect their respective sectors positively. Additionally, </w:t>
      </w:r>
      <w:r>
        <w:rPr>
          <w:rFonts w:ascii="Times New Roman" w:cs="Times New Roman" w:hAnsi="Times New Roman"/>
          <w:sz w:val="24"/>
          <w:szCs w:val="24"/>
        </w:rPr>
        <w:t xml:space="preserve">Bartle et al. (2013) say that </w:t>
      </w:r>
      <w:r>
        <w:rPr>
          <w:rFonts w:ascii="Times New Roman" w:cs="Times New Roman" w:hAnsi="Times New Roman"/>
          <w:sz w:val="24"/>
          <w:szCs w:val="24"/>
        </w:rPr>
        <w:t xml:space="preserve">public finance is an area that needs highly specialized people in accounting and economics. The technical skills that the technocrats hone in their lives makes them </w:t>
      </w:r>
      <w:r>
        <w:rPr>
          <w:rFonts w:ascii="Times New Roman" w:cs="Times New Roman" w:hAnsi="Times New Roman"/>
          <w:sz w:val="24"/>
          <w:szCs w:val="24"/>
        </w:rPr>
        <w:t xml:space="preserve">important persons when influencing outcomes of local government finance policies.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Prompt Two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There are several reasons why seek to influence the outcome of local government finance policy. Local governments make colossal amounts of money from taxations and even from renting public structures and even space. Sometimes, the amounts made by the government are </w:t>
      </w:r>
      <w:r>
        <w:rPr>
          <w:rFonts w:ascii="Times New Roman" w:cs="Times New Roman" w:hAnsi="Times New Roman"/>
          <w:sz w:val="24"/>
          <w:szCs w:val="24"/>
        </w:rPr>
        <w:t xml:space="preserve">not enough to run the government. Most of the stakeholders who are interested on </w:t>
      </w:r>
      <w:r>
        <w:rPr>
          <w:rFonts w:ascii="Times New Roman" w:cs="Times New Roman" w:hAnsi="Times New Roman"/>
          <w:sz w:val="24"/>
          <w:szCs w:val="24"/>
        </w:rPr>
        <w:t xml:space="preserve">how </w:t>
      </w:r>
      <w:r>
        <w:rPr>
          <w:rFonts w:ascii="Times New Roman" w:cs="Times New Roman" w:hAnsi="Times New Roman"/>
          <w:sz w:val="24"/>
          <w:szCs w:val="24"/>
        </w:rPr>
        <w:t>matters of finance in the local government are run depend heavily on the local government for the same finance</w:t>
      </w:r>
      <w:r>
        <w:rPr>
          <w:rFonts w:ascii="Times New Roman" w:cs="Times New Roman" w:hAnsi="Times New Roman"/>
          <w:sz w:val="24"/>
          <w:szCs w:val="24"/>
        </w:rPr>
        <w:t xml:space="preserve"> (Bolivar et al., 2016)</w:t>
      </w:r>
      <w:r>
        <w:rPr>
          <w:rFonts w:ascii="Times New Roman" w:cs="Times New Roman" w:hAnsi="Times New Roman"/>
          <w:sz w:val="24"/>
          <w:szCs w:val="24"/>
        </w:rPr>
        <w:t xml:space="preserve">. First and foremost, politicians are representatives of the people within which the local government is bounded. Therefore, they have a strong interest on how the local government is raising funds and how it is spending them. They also are interested in the local government financial policy to ensure that it guarantees fairness and equitable distribution of finance during budgetary dispositions.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To run public offices and meet the daily needs of their places of work, technocrats are also interested local government finance policy</w:t>
      </w:r>
      <w:r>
        <w:rPr>
          <w:rFonts w:ascii="Times New Roman" w:cs="Times New Roman" w:hAnsi="Times New Roman"/>
          <w:sz w:val="24"/>
          <w:szCs w:val="24"/>
        </w:rPr>
        <w:t xml:space="preserve"> (</w:t>
      </w:r>
      <w:bookmarkStart w:id="0" w:name="_GoBack"/>
      <w:bookmarkEnd w:id="0"/>
      <w:r>
        <w:rPr>
          <w:rFonts w:ascii="Times New Roman" w:cs="Times New Roman" w:hAnsi="Times New Roman"/>
          <w:sz w:val="24"/>
          <w:szCs w:val="24"/>
        </w:rPr>
        <w:t>Bartle et al., 2013)</w:t>
      </w:r>
      <w:r>
        <w:rPr>
          <w:rFonts w:ascii="Times New Roman" w:cs="Times New Roman" w:hAnsi="Times New Roman"/>
          <w:sz w:val="24"/>
          <w:szCs w:val="24"/>
        </w:rPr>
        <w:t xml:space="preserve">. For instance, doctors discover that there is increased use of pharmaceutical in the health sector to cure ailments. They can come up with proposals since in many ways pharmaceutical are a result to depression, stress and even obesity as well as blood pressure. At times, they can propose health campaigns within public hospitals which will alter the finance policy of producing more pharmaceuticals and direct the energy to nutritional change centers. Therefore, the same finance changes can be replicated across various government sectors.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Prompt Three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It is very important to understand how various spheres of local government works. First and foremost, understanding how the local government works helps one to know how the local government collects its revenue and from where it gets funding</w:t>
      </w:r>
      <w:r>
        <w:rPr>
          <w:rFonts w:ascii="Times New Roman" w:cs="Times New Roman" w:hAnsi="Times New Roman"/>
          <w:sz w:val="24"/>
          <w:szCs w:val="24"/>
        </w:rPr>
        <w:t xml:space="preserve"> (Bolivar et al., 2016)</w:t>
      </w:r>
      <w:r>
        <w:rPr>
          <w:rFonts w:ascii="Times New Roman" w:cs="Times New Roman" w:hAnsi="Times New Roman"/>
          <w:sz w:val="24"/>
          <w:szCs w:val="24"/>
        </w:rPr>
        <w:t xml:space="preserve">. Y knowing collection of revenues, one will be exposed to the collection of business rates. The business rates are taxes by business entities set by the central government. The second thing that makes it very </w:t>
      </w:r>
      <w:r>
        <w:rPr>
          <w:rFonts w:ascii="Times New Roman" w:cs="Times New Roman" w:hAnsi="Times New Roman"/>
          <w:sz w:val="24"/>
          <w:szCs w:val="24"/>
        </w:rPr>
        <w:t xml:space="preserve">necessary to understand the workings of the local government is to know how policies especially those related with finance are formulated.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other necessity is that the knowledge exposes one to how annual budgets and financial planning is done by the local government</w:t>
      </w:r>
      <w:r>
        <w:rPr>
          <w:rFonts w:ascii="Times New Roman" w:cs="Times New Roman" w:hAnsi="Times New Roman"/>
          <w:sz w:val="24"/>
          <w:szCs w:val="24"/>
        </w:rPr>
        <w:t xml:space="preserve"> (Li et al., 2015)</w:t>
      </w:r>
      <w:r>
        <w:rPr>
          <w:rFonts w:ascii="Times New Roman" w:cs="Times New Roman" w:hAnsi="Times New Roman"/>
          <w:sz w:val="24"/>
          <w:szCs w:val="24"/>
        </w:rPr>
        <w:t xml:space="preserve">. In this case, one is exposed to how much the local government within their locality is supposed to spend on dispensing services to the locals. Besides, the level of savings the local government can achieve in a fiscal year as well as how much it receives from the government are worthwhile facts that individuals are exposed to as they learn about the county government finance.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Most importantly, </w:t>
      </w:r>
      <w:r>
        <w:rPr>
          <w:rFonts w:ascii="Times New Roman" w:cs="Times New Roman" w:hAnsi="Times New Roman"/>
          <w:sz w:val="24"/>
          <w:szCs w:val="24"/>
        </w:rPr>
        <w:t xml:space="preserve">it is necessary to know about policy decisions in the local government so that one can know on the capping on local government spending. This is the part that makes one know that the local government is not all powerful and they excesses from it can be stopped.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Li, C., </w:t>
      </w:r>
      <w:r>
        <w:rPr>
          <w:rFonts w:ascii="Times New Roman" w:cs="Times New Roman" w:hAnsi="Times New Roman"/>
          <w:sz w:val="24"/>
          <w:szCs w:val="24"/>
        </w:rPr>
        <w:t>Zheng</w:t>
      </w:r>
      <w:r>
        <w:rPr>
          <w:rFonts w:ascii="Times New Roman" w:cs="Times New Roman" w:hAnsi="Times New Roman"/>
          <w:sz w:val="24"/>
          <w:szCs w:val="24"/>
        </w:rPr>
        <w:t xml:space="preserve">, H., Li, S., Chen, X., Li, J., </w:t>
      </w:r>
      <w:r>
        <w:rPr>
          <w:rFonts w:ascii="Times New Roman" w:cs="Times New Roman" w:hAnsi="Times New Roman"/>
          <w:sz w:val="24"/>
          <w:szCs w:val="24"/>
        </w:rPr>
        <w:t>Zeng</w:t>
      </w:r>
      <w:r>
        <w:rPr>
          <w:rFonts w:ascii="Times New Roman" w:cs="Times New Roman" w:hAnsi="Times New Roman"/>
          <w:sz w:val="24"/>
          <w:szCs w:val="24"/>
        </w:rPr>
        <w:t>, W</w:t>
      </w:r>
      <w:r>
        <w:rPr>
          <w:rFonts w:ascii="Times New Roman" w:cs="Times New Roman" w:hAnsi="Times New Roman"/>
          <w:sz w:val="24"/>
          <w:szCs w:val="24"/>
        </w:rPr>
        <w:t>., ...</w:t>
      </w:r>
      <w:r>
        <w:rPr>
          <w:rFonts w:ascii="Times New Roman" w:cs="Times New Roman" w:hAnsi="Times New Roman"/>
          <w:sz w:val="24"/>
          <w:szCs w:val="24"/>
        </w:rPr>
        <w:t xml:space="preserve"> &amp; </w:t>
      </w:r>
      <w:r>
        <w:rPr>
          <w:rFonts w:ascii="Times New Roman" w:cs="Times New Roman" w:hAnsi="Times New Roman"/>
          <w:sz w:val="24"/>
          <w:szCs w:val="24"/>
        </w:rPr>
        <w:t>Ouyang</w:t>
      </w:r>
      <w:r>
        <w:rPr>
          <w:rFonts w:ascii="Times New Roman" w:cs="Times New Roman" w:hAnsi="Times New Roman"/>
          <w:sz w:val="24"/>
          <w:szCs w:val="24"/>
        </w:rPr>
        <w:t xml:space="preserve">, Z. (2015). </w:t>
      </w:r>
      <w:r>
        <w:rPr>
          <w:rFonts w:ascii="Times New Roman" w:cs="Times New Roman" w:hAnsi="Times New Roman"/>
          <w:sz w:val="24"/>
          <w:szCs w:val="24"/>
        </w:rPr>
        <w:t>Impacts of conservation and human development policy across stakeholders and scales.</w:t>
      </w:r>
      <w:r>
        <w:rPr>
          <w:rFonts w:ascii="Times New Roman" w:cs="Times New Roman" w:hAnsi="Times New Roman"/>
          <w:sz w:val="24"/>
          <w:szCs w:val="24"/>
        </w:rPr>
        <w:t> </w:t>
      </w:r>
      <w:r>
        <w:rPr>
          <w:rFonts w:ascii="Times New Roman" w:cs="Times New Roman" w:hAnsi="Times New Roman"/>
          <w:i/>
          <w:iCs/>
          <w:sz w:val="24"/>
          <w:szCs w:val="24"/>
        </w:rPr>
        <w:t>Proceedings of the National Academy of Sciences</w:t>
      </w:r>
      <w:r>
        <w:rPr>
          <w:rFonts w:ascii="Times New Roman" w:cs="Times New Roman" w:hAnsi="Times New Roman"/>
          <w:sz w:val="24"/>
          <w:szCs w:val="24"/>
        </w:rPr>
        <w:t>, </w:t>
      </w:r>
      <w:r>
        <w:rPr>
          <w:rFonts w:ascii="Times New Roman" w:cs="Times New Roman" w:hAnsi="Times New Roman"/>
          <w:i/>
          <w:iCs/>
          <w:sz w:val="24"/>
          <w:szCs w:val="24"/>
        </w:rPr>
        <w:t>112</w:t>
      </w:r>
      <w:r>
        <w:rPr>
          <w:rFonts w:ascii="Times New Roman" w:cs="Times New Roman" w:hAnsi="Times New Roman"/>
          <w:sz w:val="24"/>
          <w:szCs w:val="24"/>
        </w:rPr>
        <w:t>(24), 7396-7401.</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Rodriguez Bolivar, M. P., Navarro </w:t>
      </w:r>
      <w:r>
        <w:rPr>
          <w:rFonts w:ascii="Times New Roman" w:cs="Times New Roman" w:hAnsi="Times New Roman"/>
          <w:sz w:val="24"/>
          <w:szCs w:val="24"/>
        </w:rPr>
        <w:t>Galera</w:t>
      </w:r>
      <w:r>
        <w:rPr>
          <w:rFonts w:ascii="Times New Roman" w:cs="Times New Roman" w:hAnsi="Times New Roman"/>
          <w:sz w:val="24"/>
          <w:szCs w:val="24"/>
        </w:rPr>
        <w:t xml:space="preserve">, A., </w:t>
      </w:r>
      <w:r>
        <w:rPr>
          <w:rFonts w:ascii="Times New Roman" w:cs="Times New Roman" w:hAnsi="Times New Roman"/>
          <w:sz w:val="24"/>
          <w:szCs w:val="24"/>
        </w:rPr>
        <w:t>Alcaide</w:t>
      </w:r>
      <w:r>
        <w:rPr>
          <w:rFonts w:ascii="Times New Roman" w:cs="Times New Roman" w:hAnsi="Times New Roman"/>
          <w:sz w:val="24"/>
          <w:szCs w:val="24"/>
        </w:rPr>
        <w:t xml:space="preserve"> Munoz, L., &amp; Lopez </w:t>
      </w:r>
      <w:r>
        <w:rPr>
          <w:rFonts w:ascii="Times New Roman" w:cs="Times New Roman" w:hAnsi="Times New Roman"/>
          <w:sz w:val="24"/>
          <w:szCs w:val="24"/>
        </w:rPr>
        <w:t>Subires</w:t>
      </w:r>
      <w:r>
        <w:rPr>
          <w:rFonts w:ascii="Times New Roman" w:cs="Times New Roman" w:hAnsi="Times New Roman"/>
          <w:sz w:val="24"/>
          <w:szCs w:val="24"/>
        </w:rPr>
        <w:t>, M. D. (2016).</w:t>
      </w:r>
      <w:r>
        <w:rPr>
          <w:rFonts w:ascii="Times New Roman" w:cs="Times New Roman" w:hAnsi="Times New Roman"/>
          <w:sz w:val="24"/>
          <w:szCs w:val="24"/>
        </w:rPr>
        <w:t xml:space="preserve"> Risk factors and drivers of financial sustainability in local government: An empirical study. </w:t>
      </w:r>
      <w:r>
        <w:rPr>
          <w:rFonts w:ascii="Times New Roman" w:cs="Times New Roman" w:hAnsi="Times New Roman"/>
          <w:i/>
          <w:iCs/>
          <w:sz w:val="24"/>
          <w:szCs w:val="24"/>
        </w:rPr>
        <w:t>Local Government Studies</w:t>
      </w:r>
      <w:r>
        <w:rPr>
          <w:rFonts w:ascii="Times New Roman" w:cs="Times New Roman" w:hAnsi="Times New Roman"/>
          <w:sz w:val="24"/>
          <w:szCs w:val="24"/>
        </w:rPr>
        <w:t>, </w:t>
      </w:r>
      <w:r>
        <w:rPr>
          <w:rFonts w:ascii="Times New Roman" w:cs="Times New Roman" w:hAnsi="Times New Roman"/>
          <w:i/>
          <w:iCs/>
          <w:sz w:val="24"/>
          <w:szCs w:val="24"/>
        </w:rPr>
        <w:t>42</w:t>
      </w:r>
      <w:r>
        <w:rPr>
          <w:rFonts w:ascii="Times New Roman" w:cs="Times New Roman" w:hAnsi="Times New Roman"/>
          <w:sz w:val="24"/>
          <w:szCs w:val="24"/>
        </w:rPr>
        <w:t>(1), 29-51.</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hint="eastAsia"/>
          <w:sz w:val="24"/>
          <w:szCs w:val="24"/>
        </w:rPr>
        <w:t xml:space="preserve">Bartle, J. R., </w:t>
      </w:r>
      <w:r>
        <w:rPr>
          <w:rFonts w:ascii="Times New Roman" w:cs="Times New Roman" w:hAnsi="Times New Roman" w:hint="eastAsia"/>
          <w:sz w:val="24"/>
          <w:szCs w:val="24"/>
        </w:rPr>
        <w:t>Hildreth</w:t>
      </w:r>
      <w:r>
        <w:rPr>
          <w:rFonts w:ascii="Times New Roman" w:cs="Times New Roman" w:hAnsi="Times New Roman" w:hint="eastAsia"/>
          <w:sz w:val="24"/>
          <w:szCs w:val="24"/>
        </w:rPr>
        <w:t xml:space="preserve">, W. B., Marlowe, J., &amp; International City/County Management Association. </w:t>
      </w:r>
      <w:r>
        <w:rPr>
          <w:rFonts w:ascii="Times New Roman" w:cs="Times New Roman" w:hAnsi="Times New Roman" w:hint="eastAsia"/>
          <w:sz w:val="24"/>
          <w:szCs w:val="24"/>
        </w:rPr>
        <w:t>(2013). </w:t>
      </w:r>
      <w:r>
        <w:rPr>
          <w:rFonts w:ascii="Times New Roman" w:cs="Times New Roman" w:hAnsi="Times New Roman" w:hint="eastAsia"/>
          <w:i/>
          <w:iCs/>
          <w:sz w:val="24"/>
          <w:szCs w:val="24"/>
        </w:rPr>
        <w:t>Management policies in local government finance</w:t>
      </w:r>
      <w:r>
        <w:rPr>
          <w:rFonts w:ascii="Times New Roman" w:cs="Times New Roman" w:hAnsi="Times New Roman" w:hint="eastAsia"/>
          <w:sz w:val="24"/>
          <w:szCs w:val="24"/>
        </w:rPr>
        <w:t>.</w:t>
      </w:r>
      <w:r>
        <w:rPr>
          <w:rFonts w:ascii="Times New Roman" w:cs="Times New Roman" w:hAnsi="Times New Roman" w:hint="eastAsia"/>
          <w:sz w:val="24"/>
          <w:szCs w:val="24"/>
        </w:rPr>
        <w:t xml:space="preserve"> Washington, D.C: ICMA Press.</w:t>
      </w:r>
    </w:p>
    <w:p>
      <w:pPr>
        <w:pStyle w:val="style0"/>
        <w:spacing w:lineRule="auto" w:line="480"/>
        <w:ind w:left="720" w:hanging="72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THE LOCAL GOVERNMENT STAKEHOLDERS</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head: THE LOCAL GOVERNMENT STAKEHOLDERS</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1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faeccf5-3d8b-4410-b8ec-7defd8b4c73e"/>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b88bb664-6e37-4b68-8e55-fa83541d64f3"/>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837</Words>
  <Pages>5</Pages>
  <Characters>4617</Characters>
  <Application>WPS Office</Application>
  <DocSecurity>0</DocSecurity>
  <Paragraphs>48</Paragraphs>
  <ScaleCrop>false</ScaleCrop>
  <LinksUpToDate>false</LinksUpToDate>
  <CharactersWithSpaces>5559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2019-08-29T15:20:36Z</dcterms:created>
  <dc:creator>olivia kimwomi</dc:creator>
  <lastModifiedBy>JKM-LX1</lastModifiedBy>
  <dcterms:modified xsi:type="dcterms:W3CDTF">2019-08-29T15:20:37Z</dcterms:modified>
  <revision>2</revision>
</coreProperties>
</file>

<file path=docProps/custom.xml><?xml version="1.0" encoding="utf-8"?>
<Properties xmlns="http://schemas.openxmlformats.org/officeDocument/2006/custom-properties" xmlns:vt="http://schemas.openxmlformats.org/officeDocument/2006/docPropsVTypes"/>
</file>